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C5" w:rsidRDefault="00FC1467">
      <w:pPr>
        <w:spacing w:after="28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Kanonikus mű szeminárium (Szubjektivitás és szubjektivitásformák)</w:t>
      </w:r>
    </w:p>
    <w:p w:rsidR="008B0BC5" w:rsidRDefault="00FC1467">
      <w:pPr>
        <w:spacing w:after="113"/>
        <w:jc w:val="right"/>
      </w:pPr>
      <w:r>
        <w:t>Szerda 12-14, 233/a (Fejes Péter)</w:t>
      </w:r>
    </w:p>
    <w:p w:rsidR="008B0BC5" w:rsidRDefault="00FC1467">
      <w:pPr>
        <w:spacing w:after="454"/>
        <w:jc w:val="right"/>
      </w:pPr>
      <w:r>
        <w:t>fejes.peter.ifj@gmail.com</w:t>
      </w:r>
    </w:p>
    <w:p w:rsidR="008B0BC5" w:rsidRDefault="00FC1467">
      <w:pPr>
        <w:spacing w:after="170"/>
        <w:jc w:val="both"/>
      </w:pPr>
      <w:r>
        <w:t>A félév során jogi kontextusban játszódó történetekkel foglalatoskodunk. Olvasmányaink révén betekintést nyerhetünk abba, hogy milyen viszonyok rajzolódnak ki az igazság és előállítási módjai között. A terítékre kerülő szövegek segítségévvel megvizsgálhatj</w:t>
      </w:r>
      <w:r>
        <w:t xml:space="preserve">uk egyrészt azt, hogy milyen </w:t>
      </w:r>
      <w:proofErr w:type="gramStart"/>
      <w:r>
        <w:t>helyzete(</w:t>
      </w:r>
      <w:proofErr w:type="spellStart"/>
      <w:proofErr w:type="gramEnd"/>
      <w:r>
        <w:t>ke</w:t>
      </w:r>
      <w:proofErr w:type="spellEnd"/>
      <w:r>
        <w:t xml:space="preserve">)t foglalhatnak el a cselekményeket alakító karakterek, másrészt pedig azt, hogy milyen pozícióból mesélik/mesélhetnénk el az adott történetet. Vállalásunk tehát </w:t>
      </w:r>
      <w:r>
        <w:rPr>
          <w:i/>
          <w:iCs/>
        </w:rPr>
        <w:t>egy</w:t>
      </w:r>
      <w:r>
        <w:t xml:space="preserve"> mozgástérnek a felmérése és határainak a feszegeté</w:t>
      </w:r>
      <w:r>
        <w:t>se lesz.</w:t>
      </w:r>
    </w:p>
    <w:p w:rsidR="008B0BC5" w:rsidRDefault="00FC1467">
      <w:pPr>
        <w:spacing w:after="454"/>
        <w:jc w:val="both"/>
      </w:pPr>
      <w:r>
        <w:t>A szövegek naprakész ismerete kötelező, ezt – a tematikával összhangban – „</w:t>
      </w:r>
      <w:r>
        <w:rPr>
          <w:i/>
          <w:iCs/>
        </w:rPr>
        <w:t>beugró</w:t>
      </w:r>
      <w:r>
        <w:t xml:space="preserve"> próbatételnek” vetjük alá. Az év végi </w:t>
      </w:r>
      <w:proofErr w:type="gramStart"/>
      <w:r>
        <w:t>jegy jelentős</w:t>
      </w:r>
      <w:proofErr w:type="gramEnd"/>
      <w:r>
        <w:t xml:space="preserve"> részét képezi az órai aktivitás. A fennmaradó hányadot az órákra készített feladatok minősége és a házi portfólió</w:t>
      </w:r>
      <w:r>
        <w:t xml:space="preserve">ra kapott osztályzat alapján állapítjuk meg. Három hiányzás elfogadható (melyet a nem sikerült beugrókkal </w:t>
      </w:r>
      <w:r>
        <w:rPr>
          <w:i/>
          <w:iCs/>
        </w:rPr>
        <w:t xml:space="preserve">együtt </w:t>
      </w:r>
      <w:r>
        <w:t>számítunk</w:t>
      </w:r>
      <w:r>
        <w:t>).</w:t>
      </w:r>
    </w:p>
    <w:p w:rsidR="008B0BC5" w:rsidRDefault="00FC1467">
      <w:pPr>
        <w:tabs>
          <w:tab w:val="left" w:pos="2215"/>
        </w:tabs>
        <w:jc w:val="both"/>
      </w:pPr>
      <w:r>
        <w:t>Szeptember 21.</w:t>
      </w:r>
      <w:r>
        <w:tab/>
      </w:r>
      <w:r>
        <w:rPr>
          <w:b/>
          <w:bCs/>
          <w:i/>
          <w:iCs/>
        </w:rPr>
        <w:t>Óramegbeszélés</w:t>
      </w:r>
    </w:p>
    <w:p w:rsidR="008B0BC5" w:rsidRDefault="00FC1467">
      <w:pPr>
        <w:tabs>
          <w:tab w:val="left" w:pos="2215"/>
        </w:tabs>
        <w:jc w:val="both"/>
      </w:pPr>
      <w:r>
        <w:t>Szeptember 28.</w:t>
      </w:r>
      <w:r>
        <w:tab/>
      </w:r>
      <w:r>
        <w:rPr>
          <w:b/>
          <w:bCs/>
          <w:i/>
          <w:iCs/>
        </w:rPr>
        <w:t>Szophoklész: Oidipusz király, I.</w:t>
      </w:r>
    </w:p>
    <w:p w:rsidR="008B0BC5" w:rsidRDefault="00FC1467">
      <w:pPr>
        <w:tabs>
          <w:tab w:val="left" w:pos="2215"/>
        </w:tabs>
        <w:jc w:val="both"/>
      </w:pPr>
      <w:r>
        <w:t>Október 5.</w:t>
      </w:r>
      <w:r>
        <w:tab/>
      </w:r>
      <w:r>
        <w:rPr>
          <w:b/>
          <w:bCs/>
          <w:i/>
          <w:iCs/>
        </w:rPr>
        <w:t>Szophoklész: Oidipusz király, II.</w:t>
      </w:r>
    </w:p>
    <w:p w:rsidR="008B0BC5" w:rsidRDefault="00FC1467">
      <w:pPr>
        <w:tabs>
          <w:tab w:val="left" w:pos="2215"/>
        </w:tabs>
        <w:jc w:val="both"/>
      </w:pPr>
      <w:r>
        <w:t xml:space="preserve">Október </w:t>
      </w:r>
      <w:r>
        <w:t>12.</w:t>
      </w:r>
      <w:r>
        <w:tab/>
      </w:r>
      <w:r>
        <w:rPr>
          <w:b/>
          <w:bCs/>
          <w:i/>
          <w:iCs/>
        </w:rPr>
        <w:t>Platón: Szókratész védőbeszéde, I.</w:t>
      </w:r>
    </w:p>
    <w:p w:rsidR="008B0BC5" w:rsidRDefault="00FC1467">
      <w:pPr>
        <w:tabs>
          <w:tab w:val="left" w:pos="2215"/>
        </w:tabs>
        <w:jc w:val="both"/>
      </w:pPr>
      <w:r>
        <w:t>Október 19.</w:t>
      </w:r>
      <w:r>
        <w:tab/>
      </w:r>
      <w:r>
        <w:rPr>
          <w:b/>
          <w:bCs/>
          <w:i/>
          <w:iCs/>
        </w:rPr>
        <w:t>Platón: Szókratész védőbeszéde, II.</w:t>
      </w:r>
    </w:p>
    <w:p w:rsidR="008B0BC5" w:rsidRDefault="00FC1467">
      <w:pPr>
        <w:tabs>
          <w:tab w:val="left" w:pos="2215"/>
        </w:tabs>
        <w:jc w:val="both"/>
      </w:pPr>
      <w:r>
        <w:t>Október 26.</w:t>
      </w:r>
      <w:r>
        <w:tab/>
      </w:r>
      <w:r>
        <w:rPr>
          <w:b/>
          <w:bCs/>
          <w:i/>
          <w:iCs/>
        </w:rPr>
        <w:t>Shakespeare: A velencei kalmár, I.</w:t>
      </w:r>
    </w:p>
    <w:p w:rsidR="008B0BC5" w:rsidRDefault="00FC1467">
      <w:pPr>
        <w:tabs>
          <w:tab w:val="left" w:pos="2215"/>
        </w:tabs>
        <w:jc w:val="both"/>
      </w:pPr>
      <w:r>
        <w:t>November 9.</w:t>
      </w:r>
      <w:r>
        <w:tab/>
      </w:r>
      <w:r>
        <w:rPr>
          <w:b/>
          <w:bCs/>
          <w:i/>
          <w:iCs/>
        </w:rPr>
        <w:t>Shakespeare: A velencei kalmár, II.</w:t>
      </w:r>
    </w:p>
    <w:p w:rsidR="008B0BC5" w:rsidRDefault="00FC1467">
      <w:pPr>
        <w:tabs>
          <w:tab w:val="left" w:pos="2215"/>
        </w:tabs>
        <w:jc w:val="both"/>
      </w:pPr>
      <w:r>
        <w:t>November 16.</w:t>
      </w:r>
      <w:r>
        <w:tab/>
      </w:r>
      <w:r>
        <w:rPr>
          <w:b/>
          <w:bCs/>
          <w:i/>
          <w:iCs/>
        </w:rPr>
        <w:t xml:space="preserve">Miller: A </w:t>
      </w:r>
      <w:proofErr w:type="spellStart"/>
      <w:r>
        <w:rPr>
          <w:b/>
          <w:bCs/>
          <w:i/>
          <w:iCs/>
        </w:rPr>
        <w:t>salemi</w:t>
      </w:r>
      <w:proofErr w:type="spellEnd"/>
      <w:r>
        <w:rPr>
          <w:b/>
          <w:bCs/>
          <w:i/>
          <w:iCs/>
        </w:rPr>
        <w:t xml:space="preserve"> boszorkányok, I.</w:t>
      </w:r>
    </w:p>
    <w:p w:rsidR="008B0BC5" w:rsidRDefault="00FC1467">
      <w:pPr>
        <w:tabs>
          <w:tab w:val="left" w:pos="2227"/>
        </w:tabs>
        <w:jc w:val="both"/>
      </w:pPr>
      <w:r>
        <w:t>November 23.</w:t>
      </w:r>
      <w:r>
        <w:tab/>
      </w:r>
      <w:r>
        <w:rPr>
          <w:b/>
          <w:bCs/>
          <w:i/>
          <w:iCs/>
        </w:rPr>
        <w:t xml:space="preserve">Miller: A </w:t>
      </w:r>
      <w:proofErr w:type="spellStart"/>
      <w:r>
        <w:rPr>
          <w:b/>
          <w:bCs/>
          <w:i/>
          <w:iCs/>
        </w:rPr>
        <w:t>sale</w:t>
      </w:r>
      <w:r>
        <w:rPr>
          <w:b/>
          <w:bCs/>
          <w:i/>
          <w:iCs/>
        </w:rPr>
        <w:t>mi</w:t>
      </w:r>
      <w:proofErr w:type="spellEnd"/>
      <w:r>
        <w:rPr>
          <w:b/>
          <w:bCs/>
          <w:i/>
          <w:iCs/>
        </w:rPr>
        <w:t xml:space="preserve"> boszorkányok, II.</w:t>
      </w:r>
    </w:p>
    <w:p w:rsidR="008B0BC5" w:rsidRDefault="00FC1467">
      <w:pPr>
        <w:tabs>
          <w:tab w:val="left" w:pos="2215"/>
        </w:tabs>
        <w:jc w:val="both"/>
      </w:pPr>
      <w:r>
        <w:t>November 30.</w:t>
      </w:r>
      <w:r>
        <w:tab/>
      </w:r>
      <w:r>
        <w:rPr>
          <w:b/>
          <w:bCs/>
          <w:i/>
          <w:iCs/>
        </w:rPr>
        <w:t>Kafka: A per, I.</w:t>
      </w:r>
    </w:p>
    <w:p w:rsidR="008B0BC5" w:rsidRDefault="00FC1467">
      <w:pPr>
        <w:tabs>
          <w:tab w:val="left" w:pos="2215"/>
        </w:tabs>
        <w:jc w:val="both"/>
      </w:pPr>
      <w:r>
        <w:t>December 7.</w:t>
      </w:r>
      <w:r>
        <w:tab/>
      </w:r>
      <w:r>
        <w:rPr>
          <w:b/>
          <w:bCs/>
          <w:i/>
          <w:iCs/>
        </w:rPr>
        <w:t>Kafka: A per, II</w:t>
      </w:r>
      <w:r>
        <w:t xml:space="preserve"> (Portfólió leadásának </w:t>
      </w:r>
      <w:r>
        <w:rPr>
          <w:i/>
          <w:iCs/>
        </w:rPr>
        <w:t>legkésőbbi</w:t>
      </w:r>
      <w:r>
        <w:t xml:space="preserve"> határideje).</w:t>
      </w:r>
    </w:p>
    <w:p w:rsidR="008B0BC5" w:rsidRDefault="00FC1467">
      <w:pPr>
        <w:tabs>
          <w:tab w:val="left" w:pos="2215"/>
        </w:tabs>
        <w:jc w:val="both"/>
      </w:pPr>
      <w:r>
        <w:t>December 14.</w:t>
      </w:r>
      <w:r>
        <w:tab/>
      </w:r>
      <w:r>
        <w:rPr>
          <w:b/>
          <w:bCs/>
          <w:i/>
          <w:iCs/>
        </w:rPr>
        <w:t>Portfólió ismertetése – Jegyhirdetés.</w:t>
      </w:r>
    </w:p>
    <w:p w:rsidR="008B0BC5" w:rsidRDefault="00FC1467">
      <w:pPr>
        <w:tabs>
          <w:tab w:val="left" w:pos="2215"/>
        </w:tabs>
        <w:spacing w:after="454"/>
        <w:jc w:val="both"/>
      </w:pPr>
      <w:r>
        <w:t>December 21.</w:t>
      </w:r>
      <w:r>
        <w:tab/>
      </w:r>
      <w:r>
        <w:rPr>
          <w:b/>
          <w:bCs/>
          <w:i/>
          <w:iCs/>
        </w:rPr>
        <w:t>Javítási lehetőség.</w:t>
      </w:r>
    </w:p>
    <w:p w:rsidR="008B0BC5" w:rsidRDefault="00FC1467">
      <w:pPr>
        <w:tabs>
          <w:tab w:val="left" w:pos="2215"/>
        </w:tabs>
        <w:jc w:val="both"/>
        <w:rPr>
          <w:b/>
          <w:bCs/>
        </w:rPr>
      </w:pPr>
      <w:r>
        <w:rPr>
          <w:b/>
          <w:bCs/>
        </w:rPr>
        <w:t>Ajánlott irodalom</w:t>
      </w:r>
    </w:p>
    <w:p w:rsidR="008B0BC5" w:rsidRDefault="00FC1467">
      <w:pPr>
        <w:tabs>
          <w:tab w:val="left" w:pos="2215"/>
        </w:tabs>
        <w:spacing w:after="57"/>
        <w:jc w:val="both"/>
      </w:pPr>
      <w:r>
        <w:rPr>
          <w:rFonts w:ascii="Times New Roman" w:eastAsia="Liberation Serif" w:hAnsi="Times New Roman" w:cs="Liberation Serif"/>
        </w:rPr>
        <w:t xml:space="preserve">Foucault, Michel 2011.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Leçon</w:t>
      </w:r>
      <w:r>
        <w:rPr>
          <w:rFonts w:ascii="Times New Roman" w:eastAsia="Liberation Serif" w:hAnsi="Times New Roman" w:cs="Liberation Serif"/>
          <w:i/>
          <w:iCs/>
        </w:rPr>
        <w:t>s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sur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la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volonté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du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savoir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: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Cours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</w:t>
      </w:r>
      <w:proofErr w:type="gramStart"/>
      <w:r>
        <w:rPr>
          <w:rFonts w:ascii="Times New Roman" w:eastAsia="Liberation Serif" w:hAnsi="Times New Roman" w:cs="Liberation Serif"/>
          <w:i/>
          <w:iCs/>
        </w:rPr>
        <w:t>au</w:t>
      </w:r>
      <w:proofErr w:type="gramEnd"/>
      <w:r>
        <w:rPr>
          <w:rFonts w:ascii="Times New Roman" w:eastAsia="Liberation Serif" w:hAnsi="Times New Roman" w:cs="Liberation Serif"/>
          <w:i/>
          <w:iCs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Collège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de France, 1970 – 1971.</w:t>
      </w:r>
      <w:r>
        <w:rPr>
          <w:rFonts w:ascii="Times New Roman" w:eastAsia="Liberation Serif" w:hAnsi="Times New Roman" w:cs="Liberation Serif"/>
        </w:rPr>
        <w:t xml:space="preserve"> Paris: </w:t>
      </w:r>
      <w:proofErr w:type="spellStart"/>
      <w:r>
        <w:rPr>
          <w:rFonts w:ascii="Times New Roman" w:eastAsia="Liberation Serif" w:hAnsi="Times New Roman" w:cs="Liberation Serif"/>
        </w:rPr>
        <w:t>Gallimard</w:t>
      </w:r>
      <w:proofErr w:type="spellEnd"/>
      <w:r>
        <w:rPr>
          <w:rFonts w:ascii="Times New Roman" w:eastAsia="Liberation Serif" w:hAnsi="Times New Roman" w:cs="Liberation Serif"/>
        </w:rPr>
        <w:t>.</w:t>
      </w:r>
    </w:p>
    <w:p w:rsidR="008B0BC5" w:rsidRDefault="00FC1467">
      <w:pPr>
        <w:tabs>
          <w:tab w:val="left" w:pos="2215"/>
        </w:tabs>
        <w:spacing w:after="57"/>
        <w:jc w:val="both"/>
      </w:pPr>
      <w:r>
        <w:rPr>
          <w:rFonts w:ascii="Times New Roman" w:eastAsia="Liberation Serif" w:hAnsi="Times New Roman" w:cs="Liberation Serif"/>
        </w:rPr>
        <w:t xml:space="preserve">Foucault, Michel 1998. </w:t>
      </w:r>
      <w:r>
        <w:rPr>
          <w:rFonts w:ascii="Times New Roman" w:eastAsia="Liberation Serif" w:hAnsi="Times New Roman" w:cs="Liberation Serif"/>
          <w:i/>
          <w:iCs/>
        </w:rPr>
        <w:t>Igazságszolgáltatás és igazságszolgáltatási formák</w:t>
      </w:r>
      <w:r>
        <w:rPr>
          <w:rFonts w:ascii="Times New Roman" w:eastAsia="Liberation Serif" w:hAnsi="Times New Roman" w:cs="Liberation Serif"/>
        </w:rPr>
        <w:t>. Ford</w:t>
      </w:r>
      <w:proofErr w:type="gramStart"/>
      <w:r>
        <w:rPr>
          <w:rFonts w:ascii="Times New Roman" w:eastAsia="Liberation Serif" w:hAnsi="Times New Roman" w:cs="Liberation Serif"/>
        </w:rPr>
        <w:t>.:</w:t>
      </w:r>
      <w:proofErr w:type="gramEnd"/>
      <w:r>
        <w:rPr>
          <w:rFonts w:ascii="Times New Roman" w:eastAsia="Liberation Serif" w:hAnsi="Times New Roman" w:cs="Liberation Serif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</w:rPr>
        <w:t>Sutyák</w:t>
      </w:r>
      <w:proofErr w:type="spellEnd"/>
      <w:r>
        <w:rPr>
          <w:rFonts w:ascii="Times New Roman" w:eastAsia="Liberation Serif" w:hAnsi="Times New Roman" w:cs="Liberation Serif"/>
        </w:rPr>
        <w:t xml:space="preserve"> Tibor. Debrecen: Latin betűk.</w:t>
      </w:r>
    </w:p>
    <w:p w:rsidR="008B0BC5" w:rsidRDefault="00FC1467">
      <w:pPr>
        <w:tabs>
          <w:tab w:val="left" w:pos="2215"/>
        </w:tabs>
        <w:spacing w:after="57"/>
        <w:jc w:val="both"/>
      </w:pPr>
      <w:r>
        <w:rPr>
          <w:rFonts w:ascii="Times New Roman" w:eastAsia="Liberation Serif" w:hAnsi="Times New Roman" w:cs="Liberation Serif"/>
        </w:rPr>
        <w:t xml:space="preserve">Foucault, Michel 2015. </w:t>
      </w:r>
      <w:r>
        <w:rPr>
          <w:rFonts w:ascii="Times New Roman" w:eastAsia="Liberation Serif" w:hAnsi="Times New Roman" w:cs="Liberation Serif"/>
          <w:i/>
          <w:iCs/>
        </w:rPr>
        <w:t>A rendellenesek.</w:t>
      </w:r>
      <w:r>
        <w:rPr>
          <w:rFonts w:ascii="Times New Roman" w:eastAsia="Liberation Serif" w:hAnsi="Times New Roman" w:cs="Liberation Serif"/>
        </w:rPr>
        <w:t xml:space="preserve"> Ford</w:t>
      </w:r>
      <w:proofErr w:type="gramStart"/>
      <w:r>
        <w:rPr>
          <w:rFonts w:ascii="Times New Roman" w:eastAsia="Liberation Serif" w:hAnsi="Times New Roman" w:cs="Liberation Serif"/>
        </w:rPr>
        <w:t>.:</w:t>
      </w:r>
      <w:proofErr w:type="gramEnd"/>
      <w:r>
        <w:rPr>
          <w:rFonts w:ascii="Times New Roman" w:eastAsia="Liberation Serif" w:hAnsi="Times New Roman" w:cs="Liberation Serif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</w:rPr>
        <w:t>Berkovits</w:t>
      </w:r>
      <w:proofErr w:type="spellEnd"/>
      <w:r>
        <w:rPr>
          <w:rFonts w:ascii="Times New Roman" w:eastAsia="Liberation Serif" w:hAnsi="Times New Roman" w:cs="Liberation Serif"/>
        </w:rPr>
        <w:t xml:space="preserve"> Balázs. </w:t>
      </w:r>
      <w:proofErr w:type="gramStart"/>
      <w:r>
        <w:rPr>
          <w:rFonts w:ascii="Times New Roman" w:eastAsia="Liberation Serif" w:hAnsi="Times New Roman" w:cs="Liberation Serif"/>
        </w:rPr>
        <w:t>Budapest:</w:t>
      </w:r>
      <w:proofErr w:type="gramEnd"/>
      <w:r>
        <w:rPr>
          <w:rFonts w:ascii="Times New Roman" w:eastAsia="Liberation Serif" w:hAnsi="Times New Roman" w:cs="Liberation Serif"/>
        </w:rPr>
        <w:t xml:space="preserve"> L’</w:t>
      </w:r>
      <w:proofErr w:type="spellStart"/>
      <w:r>
        <w:rPr>
          <w:rFonts w:ascii="Times New Roman" w:eastAsia="Liberation Serif" w:hAnsi="Times New Roman" w:cs="Liberation Serif"/>
        </w:rPr>
        <w:t>Harmattan</w:t>
      </w:r>
      <w:proofErr w:type="spellEnd"/>
      <w:r>
        <w:rPr>
          <w:rFonts w:ascii="Times New Roman" w:eastAsia="Liberation Serif" w:hAnsi="Times New Roman" w:cs="Liberation Serif"/>
        </w:rPr>
        <w:t>.</w:t>
      </w:r>
    </w:p>
    <w:p w:rsidR="008B0BC5" w:rsidRDefault="00FC1467">
      <w:pPr>
        <w:tabs>
          <w:tab w:val="left" w:pos="2215"/>
        </w:tabs>
        <w:spacing w:after="57"/>
        <w:jc w:val="both"/>
      </w:pPr>
      <w:r>
        <w:rPr>
          <w:rFonts w:ascii="Times New Roman" w:eastAsia="Liberation Serif" w:hAnsi="Times New Roman" w:cs="Liberation Serif"/>
        </w:rPr>
        <w:t xml:space="preserve">Foucault, Michel 2014.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Wrong-doing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,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truth-telling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: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the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function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of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avowal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in</w:t>
      </w:r>
      <w:proofErr w:type="spellEnd"/>
      <w:r>
        <w:rPr>
          <w:rFonts w:ascii="Times New Roman" w:eastAsia="Liberation Serif" w:hAnsi="Times New Roman" w:cs="Liberation Serif"/>
          <w:i/>
          <w:iCs/>
        </w:rPr>
        <w:t xml:space="preserve"> </w:t>
      </w:r>
      <w:proofErr w:type="spellStart"/>
      <w:r>
        <w:rPr>
          <w:rFonts w:ascii="Times New Roman" w:eastAsia="Liberation Serif" w:hAnsi="Times New Roman" w:cs="Liberation Serif"/>
          <w:i/>
          <w:iCs/>
        </w:rPr>
        <w:t>justice</w:t>
      </w:r>
      <w:proofErr w:type="spellEnd"/>
      <w:r>
        <w:rPr>
          <w:rFonts w:ascii="Times New Roman" w:eastAsia="Liberation Serif" w:hAnsi="Times New Roman" w:cs="Liberation Serif"/>
          <w:i/>
          <w:iCs/>
        </w:rPr>
        <w:t>.</w:t>
      </w:r>
      <w:r>
        <w:rPr>
          <w:rFonts w:ascii="Times New Roman" w:eastAsia="Liberation Serif" w:hAnsi="Times New Roman" w:cs="Liberation Serif"/>
        </w:rPr>
        <w:t xml:space="preserve"> Ford</w:t>
      </w:r>
      <w:proofErr w:type="gramStart"/>
      <w:r>
        <w:rPr>
          <w:rFonts w:ascii="Times New Roman" w:eastAsia="Liberation Serif" w:hAnsi="Times New Roman" w:cs="Liberation Serif"/>
        </w:rPr>
        <w:t>.:</w:t>
      </w:r>
      <w:proofErr w:type="gramEnd"/>
      <w:r>
        <w:rPr>
          <w:rFonts w:ascii="Times New Roman" w:eastAsia="Liberation Serif" w:hAnsi="Times New Roman" w:cs="Liberation Serif"/>
        </w:rPr>
        <w:t xml:space="preserve"> </w:t>
      </w:r>
      <w:proofErr w:type="spellStart"/>
      <w:r>
        <w:rPr>
          <w:rFonts w:ascii="Times New Roman" w:eastAsia="Liberation Serif" w:hAnsi="Times New Roman" w:cs="Liberation Serif"/>
        </w:rPr>
        <w:t>Sawyer</w:t>
      </w:r>
      <w:proofErr w:type="spellEnd"/>
      <w:r>
        <w:rPr>
          <w:rFonts w:ascii="Times New Roman" w:eastAsia="Liberation Serif" w:hAnsi="Times New Roman" w:cs="Liberation Serif"/>
        </w:rPr>
        <w:t>, Stephen W. Chicago: The University of Chicago Press.</w:t>
      </w:r>
    </w:p>
    <w:sectPr w:rsidR="008B0BC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C5"/>
    <w:rsid w:val="008B0BC5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2016-09-20T08:55:00Z</dcterms:created>
  <dcterms:modified xsi:type="dcterms:W3CDTF">2016-09-20T08:55:00Z</dcterms:modified>
  <dc:language>hu-HU</dc:language>
</cp:coreProperties>
</file>