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5" w:rsidRDefault="00E4768C">
      <w:pPr>
        <w:spacing w:after="113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Filozófia szakszeminárium (Foucault Kant képeiről)</w:t>
      </w:r>
    </w:p>
    <w:p w:rsidR="00D34735" w:rsidRDefault="00E4768C">
      <w:pPr>
        <w:jc w:val="right"/>
      </w:pPr>
      <w:r>
        <w:rPr>
          <w:rFonts w:ascii="Times New Roman" w:hAnsi="Times New Roman"/>
        </w:rPr>
        <w:t>Csütörtök 16-18, 233/a (Fejes Péter)</w:t>
      </w:r>
    </w:p>
    <w:p w:rsidR="00D34735" w:rsidRDefault="00E4768C">
      <w:pPr>
        <w:spacing w:after="227"/>
        <w:jc w:val="right"/>
      </w:pPr>
      <w:hyperlink r:id="rId5">
        <w:r>
          <w:rPr>
            <w:rStyle w:val="Internet-hivatkozs"/>
            <w:rFonts w:ascii="Times New Roman" w:hAnsi="Times New Roman"/>
          </w:rPr>
          <w:t>fejes.peter.ifj@gmail.com</w:t>
        </w:r>
      </w:hyperlink>
    </w:p>
    <w:p w:rsidR="00D34735" w:rsidRDefault="00E4768C">
      <w:pPr>
        <w:jc w:val="both"/>
      </w:pPr>
      <w:r>
        <w:rPr>
          <w:rFonts w:ascii="Times New Roman" w:hAnsi="Times New Roman"/>
        </w:rPr>
        <w:t>Jóllehet Michel Foucault munkásságára számos korábban élt és kortárs gondolkodó</w:t>
      </w:r>
      <w:r>
        <w:rPr>
          <w:rFonts w:ascii="Times New Roman" w:hAnsi="Times New Roman"/>
        </w:rPr>
        <w:t xml:space="preserve"> hatással volt, a félév során Immanuel Kant olvasatait állítjuk a középpontba. Ezt a német filozófus Foucault szövegeiben elfoglalt speciális helyzete indokolja. Reflexiónk elmélyítése érdekében megpróbáljuk rekonstruálni azt, hogy Foucault miként vélekede</w:t>
      </w:r>
      <w:r>
        <w:rPr>
          <w:rFonts w:ascii="Times New Roman" w:hAnsi="Times New Roman"/>
        </w:rPr>
        <w:t>tt a kommentálás gyakorlatáról különböző szövegeiben.</w:t>
      </w:r>
    </w:p>
    <w:p w:rsidR="00D34735" w:rsidRDefault="00E4768C">
      <w:pPr>
        <w:spacing w:after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órákra kijelölt passzusok ismerete és az órai aktivitás alapvető követelmény. A félév végi jegyet az órákra készített feladatok, a kerekasztal vitára készített dolgozat és vitában mutatott teljesítmé</w:t>
      </w:r>
      <w:r>
        <w:rPr>
          <w:rFonts w:ascii="Times New Roman" w:hAnsi="Times New Roman"/>
        </w:rPr>
        <w:t>ny együttese adja. A jegyszerzéshez három hiányzás fogadható el.</w:t>
      </w:r>
    </w:p>
    <w:p w:rsidR="00D34735" w:rsidRDefault="00E4768C">
      <w:pPr>
        <w:tabs>
          <w:tab w:val="left" w:pos="2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Szeptember 22.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Óramegbeszélés</w:t>
      </w:r>
    </w:p>
    <w:p w:rsidR="00D34735" w:rsidRDefault="00E4768C">
      <w:pPr>
        <w:tabs>
          <w:tab w:val="left" w:pos="2215"/>
        </w:tabs>
        <w:jc w:val="both"/>
      </w:pPr>
      <w:r>
        <w:rPr>
          <w:rFonts w:ascii="Times New Roman" w:hAnsi="Times New Roman"/>
        </w:rPr>
        <w:t>Szeptember 29.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Kommentár Foucault-nál I.</w:t>
      </w:r>
    </w:p>
    <w:p w:rsidR="00D34735" w:rsidRDefault="00E4768C">
      <w:pPr>
        <w:tabs>
          <w:tab w:val="left" w:pos="2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Október 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Kommentár Foucault-nál II.</w:t>
      </w:r>
    </w:p>
    <w:p w:rsidR="00D34735" w:rsidRDefault="00E4768C">
      <w:pPr>
        <w:tabs>
          <w:tab w:val="left" w:pos="2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Október 13.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Kommentár Foucault-nál III.</w:t>
      </w:r>
    </w:p>
    <w:p w:rsidR="00D34735" w:rsidRDefault="00E4768C">
      <w:pPr>
        <w:tabs>
          <w:tab w:val="left" w:pos="2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Október 20.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Kommentár Foucault-nál IV.</w:t>
      </w:r>
    </w:p>
    <w:p w:rsidR="00D34735" w:rsidRDefault="00E4768C">
      <w:pPr>
        <w:tabs>
          <w:tab w:val="left" w:pos="2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Okt</w:t>
      </w:r>
      <w:r>
        <w:rPr>
          <w:rFonts w:ascii="Times New Roman" w:hAnsi="Times New Roman"/>
        </w:rPr>
        <w:t>óber 27.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Foucault Kant képei I.</w:t>
      </w:r>
    </w:p>
    <w:p w:rsidR="00D34735" w:rsidRDefault="00E4768C">
      <w:pPr>
        <w:tabs>
          <w:tab w:val="left" w:pos="2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10.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Foucault Kant képei II.</w:t>
      </w:r>
    </w:p>
    <w:p w:rsidR="00D34735" w:rsidRDefault="00E4768C">
      <w:pPr>
        <w:tabs>
          <w:tab w:val="left" w:pos="2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17.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Foucault Kant képei III.</w:t>
      </w:r>
    </w:p>
    <w:p w:rsidR="00D34735" w:rsidRDefault="00E4768C">
      <w:pPr>
        <w:tabs>
          <w:tab w:val="left" w:pos="222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24.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Foucault Kant képei IV.</w:t>
      </w:r>
    </w:p>
    <w:p w:rsidR="00D34735" w:rsidRDefault="00E4768C">
      <w:pPr>
        <w:tabs>
          <w:tab w:val="left" w:pos="2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December 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Foucault Kant képei V.</w:t>
      </w:r>
    </w:p>
    <w:p w:rsidR="00D34735" w:rsidRDefault="00E4768C">
      <w:pPr>
        <w:tabs>
          <w:tab w:val="left" w:pos="2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December 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Kerekasztal vita (I. csoport)</w:t>
      </w:r>
    </w:p>
    <w:p w:rsidR="00D34735" w:rsidRDefault="00E4768C">
      <w:pPr>
        <w:tabs>
          <w:tab w:val="left" w:pos="2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December 15.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 xml:space="preserve">Kerekasztal vita (II. </w:t>
      </w:r>
      <w:r>
        <w:rPr>
          <w:rFonts w:ascii="Times New Roman" w:hAnsi="Times New Roman"/>
          <w:b/>
          <w:bCs/>
          <w:i/>
          <w:iCs/>
        </w:rPr>
        <w:t>csoport) – Jegyhirdetés.</w:t>
      </w:r>
    </w:p>
    <w:p w:rsidR="00D34735" w:rsidRDefault="00E4768C">
      <w:pPr>
        <w:tabs>
          <w:tab w:val="left" w:pos="2215"/>
        </w:tabs>
        <w:spacing w:after="170"/>
        <w:rPr>
          <w:rFonts w:ascii="Times New Roman" w:hAnsi="Times New Roman"/>
        </w:rPr>
      </w:pPr>
      <w:r>
        <w:rPr>
          <w:rFonts w:ascii="Times New Roman" w:hAnsi="Times New Roman"/>
        </w:rPr>
        <w:t>December 22.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>Javítási lehetőség.</w:t>
      </w:r>
      <w:r>
        <w:rPr>
          <w:rFonts w:ascii="Times New Roman" w:hAnsi="Times New Roman"/>
        </w:rPr>
        <w:t xml:space="preserve"> </w:t>
      </w:r>
    </w:p>
    <w:p w:rsidR="00D34735" w:rsidRDefault="00E4768C">
      <w:pPr>
        <w:tabs>
          <w:tab w:val="left" w:pos="2215"/>
        </w:tabs>
        <w:rPr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Kötelező irodalom:</w:t>
      </w:r>
    </w:p>
    <w:p w:rsidR="00D34735" w:rsidRDefault="00E4768C">
      <w:pPr>
        <w:tabs>
          <w:tab w:val="left" w:pos="2215"/>
        </w:tabs>
        <w:spacing w:after="113"/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A „Kommentár Foucault-nál” blokkhoz:</w:t>
      </w:r>
    </w:p>
    <w:p w:rsidR="00D34735" w:rsidRDefault="00E4768C">
      <w:pPr>
        <w:tabs>
          <w:tab w:val="left" w:pos="2215"/>
        </w:tabs>
        <w:spacing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 xml:space="preserve">Foucault, Michel. 1998. „A diskurzus rendje.” Ford. Romhányi Török Gábor.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In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proofErr w:type="gramStart"/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A</w:t>
      </w:r>
      <w:proofErr w:type="gramEnd"/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 xml:space="preserve"> fantasztikus könyvtár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, 50–74. Budapest: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Pallas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>–Attraktor.</w:t>
      </w:r>
    </w:p>
    <w:p w:rsidR="00D34735" w:rsidRDefault="00E4768C">
      <w:pPr>
        <w:tabs>
          <w:tab w:val="left" w:pos="2215"/>
        </w:tabs>
        <w:spacing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 xml:space="preserve">Foucault, Michel. 1999a. „Mi a szerző?” Ford. Erős Ferenc –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Kicsák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Lóránt.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In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Nyelv a végtelenhez,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119–45. Debrecen: Latin betűk.</w:t>
      </w:r>
    </w:p>
    <w:p w:rsidR="00D34735" w:rsidRDefault="00E4768C">
      <w:pPr>
        <w:tabs>
          <w:tab w:val="left" w:pos="2215"/>
        </w:tabs>
        <w:spacing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 xml:space="preserve">Foucault, Michel. 2000. </w:t>
      </w:r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A szavak és a dolgok.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Ford. Romhányi Török Gábor. Budapest: Osiris. (9–18 o.; 35–69 o.; 99–103 o.)</w:t>
      </w:r>
    </w:p>
    <w:p w:rsidR="00D34735" w:rsidRDefault="00E4768C">
      <w:pPr>
        <w:tabs>
          <w:tab w:val="left" w:pos="2215"/>
        </w:tabs>
        <w:spacing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>Fou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cault, Michel. 1999b. „A tudományok archeológiájáról.” Ford.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Sutyák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Tibor.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In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Nyelv a végtelenhez,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169–201. Debrecen: Latin betűk.</w:t>
      </w:r>
    </w:p>
    <w:p w:rsidR="00D34735" w:rsidRDefault="00E4768C">
      <w:pPr>
        <w:tabs>
          <w:tab w:val="left" w:pos="2215"/>
        </w:tabs>
        <w:spacing w:after="113"/>
        <w:jc w:val="both"/>
      </w:pPr>
      <w:r>
        <w:rPr>
          <w:rFonts w:ascii="Times New Roman" w:eastAsia="Liberation Serif" w:hAnsi="Times New Roman" w:cs="Liberation Serif"/>
          <w:b/>
          <w:bCs/>
          <w:i/>
          <w:iCs/>
          <w:sz w:val="20"/>
          <w:szCs w:val="20"/>
        </w:rPr>
        <w:t>A „Foucault Kant képei” blokkhoz:</w:t>
      </w:r>
    </w:p>
    <w:p w:rsidR="00D34735" w:rsidRDefault="00E4768C">
      <w:pPr>
        <w:tabs>
          <w:tab w:val="left" w:pos="2215"/>
        </w:tabs>
        <w:spacing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>Foucault, Michel. 1991. „Mi a felvilágosodás.” Ford</w:t>
      </w:r>
      <w:proofErr w:type="gramStart"/>
      <w:r>
        <w:rPr>
          <w:rFonts w:ascii="Times New Roman" w:eastAsia="Liberation Serif" w:hAnsi="Times New Roman" w:cs="Liberation Serif"/>
          <w:sz w:val="20"/>
          <w:szCs w:val="20"/>
        </w:rPr>
        <w:t>.:</w:t>
      </w:r>
      <w:proofErr w:type="gramEnd"/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Szakolczay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Árpád.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In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proofErr w:type="gramStart"/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A</w:t>
      </w:r>
      <w:proofErr w:type="gramEnd"/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 xml:space="preserve"> modernség poli</w:t>
      </w:r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tikai-filozófiai dilemmái: A felvilágosodáson innen és túl.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Budapest: MTA Szociológiai Kutató Intézete.</w:t>
      </w:r>
    </w:p>
    <w:p w:rsidR="00D34735" w:rsidRDefault="00E4768C">
      <w:pPr>
        <w:tabs>
          <w:tab w:val="left" w:pos="2215"/>
        </w:tabs>
        <w:spacing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 xml:space="preserve">Foucault, Michel. 2000. </w:t>
      </w:r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A szavak és a dolgok.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Ford. Romhányi Török Gábor. Budapest: Osiris. (339–83. o.)</w:t>
      </w:r>
    </w:p>
    <w:p w:rsidR="00D34735" w:rsidRDefault="00E4768C">
      <w:pPr>
        <w:tabs>
          <w:tab w:val="left" w:pos="2215"/>
        </w:tabs>
        <w:spacing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 xml:space="preserve">Kant, Immanuel. 1997. „Válasz a kérdésre: mi a </w:t>
      </w:r>
      <w:r>
        <w:rPr>
          <w:rFonts w:ascii="Times New Roman" w:eastAsia="Liberation Serif" w:hAnsi="Times New Roman" w:cs="Liberation Serif"/>
          <w:sz w:val="20"/>
          <w:szCs w:val="20"/>
        </w:rPr>
        <w:t>felvilágosodás.” Ford</w:t>
      </w:r>
      <w:proofErr w:type="gramStart"/>
      <w:r>
        <w:rPr>
          <w:rFonts w:ascii="Times New Roman" w:eastAsia="Liberation Serif" w:hAnsi="Times New Roman" w:cs="Liberation Serif"/>
          <w:sz w:val="20"/>
          <w:szCs w:val="20"/>
        </w:rPr>
        <w:t>.:</w:t>
      </w:r>
      <w:proofErr w:type="gramEnd"/>
      <w:r>
        <w:rPr>
          <w:rFonts w:ascii="Times New Roman" w:eastAsia="Liberation Serif" w:hAnsi="Times New Roman" w:cs="Liberation Serif"/>
          <w:sz w:val="20"/>
          <w:szCs w:val="20"/>
        </w:rPr>
        <w:t xml:space="preserve"> Vidrányi Katalin.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In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Történetfilozófiai írások,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13–22. Szeged: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Ictus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>.</w:t>
      </w:r>
    </w:p>
    <w:p w:rsidR="00D34735" w:rsidRDefault="00E4768C">
      <w:pPr>
        <w:tabs>
          <w:tab w:val="left" w:pos="2215"/>
        </w:tabs>
        <w:spacing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>Kant, Immanuel. 1997. „Tájékozódni a gondolatok között: mit is jelent ez?” Ford</w:t>
      </w:r>
      <w:proofErr w:type="gramStart"/>
      <w:r>
        <w:rPr>
          <w:rFonts w:ascii="Times New Roman" w:eastAsia="Liberation Serif" w:hAnsi="Times New Roman" w:cs="Liberation Serif"/>
          <w:sz w:val="20"/>
          <w:szCs w:val="20"/>
        </w:rPr>
        <w:t>.:</w:t>
      </w:r>
      <w:proofErr w:type="gramEnd"/>
      <w:r>
        <w:rPr>
          <w:rFonts w:ascii="Times New Roman" w:eastAsia="Liberation Serif" w:hAnsi="Times New Roman" w:cs="Liberation Serif"/>
          <w:sz w:val="20"/>
          <w:szCs w:val="20"/>
        </w:rPr>
        <w:t xml:space="preserve"> Vidrányi Katalin.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In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Történetfilozófiai írások,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25–39. Szeged: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Ictus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>.</w:t>
      </w:r>
    </w:p>
    <w:p w:rsidR="00D34735" w:rsidRDefault="00E4768C">
      <w:pPr>
        <w:tabs>
          <w:tab w:val="left" w:pos="2215"/>
        </w:tabs>
        <w:spacing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>Kant Imman</w:t>
      </w:r>
      <w:r>
        <w:rPr>
          <w:rFonts w:ascii="Times New Roman" w:eastAsia="Liberation Serif" w:hAnsi="Times New Roman" w:cs="Liberation Serif"/>
          <w:sz w:val="20"/>
          <w:szCs w:val="20"/>
        </w:rPr>
        <w:t>uel. 2003. „Kísérlet a fej betegségeiről.” Ford</w:t>
      </w:r>
      <w:proofErr w:type="gramStart"/>
      <w:r>
        <w:rPr>
          <w:rFonts w:ascii="Times New Roman" w:eastAsia="Liberation Serif" w:hAnsi="Times New Roman" w:cs="Liberation Serif"/>
          <w:sz w:val="20"/>
          <w:szCs w:val="20"/>
        </w:rPr>
        <w:t>.:</w:t>
      </w:r>
      <w:proofErr w:type="gramEnd"/>
      <w:r>
        <w:rPr>
          <w:rFonts w:ascii="Times New Roman" w:eastAsia="Liberation Serif" w:hAnsi="Times New Roman" w:cs="Liberation Serif"/>
          <w:sz w:val="20"/>
          <w:szCs w:val="20"/>
        </w:rPr>
        <w:t xml:space="preserve"> Ábrahám Zoltán.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In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proofErr w:type="spellStart"/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Prekritikai</w:t>
      </w:r>
      <w:proofErr w:type="spellEnd"/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 xml:space="preserve"> írások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1754–1781, 415–31. Budapest: Osiris/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Gond-Cura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Alapítvány.</w:t>
      </w:r>
    </w:p>
    <w:p w:rsidR="00D34735" w:rsidRDefault="00E4768C">
      <w:pPr>
        <w:tabs>
          <w:tab w:val="left" w:pos="2215"/>
        </w:tabs>
        <w:spacing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>Kant, Immanuel. 2005. Antropológiai előadások. Ford</w:t>
      </w:r>
      <w:proofErr w:type="gramStart"/>
      <w:r>
        <w:rPr>
          <w:rFonts w:ascii="Times New Roman" w:eastAsia="Liberation Serif" w:hAnsi="Times New Roman" w:cs="Liberation Serif"/>
          <w:sz w:val="20"/>
          <w:szCs w:val="20"/>
        </w:rPr>
        <w:t>.:</w:t>
      </w:r>
      <w:proofErr w:type="gramEnd"/>
      <w:r>
        <w:rPr>
          <w:rFonts w:ascii="Times New Roman" w:eastAsia="Liberation Serif" w:hAnsi="Times New Roman" w:cs="Liberation Serif"/>
          <w:sz w:val="20"/>
          <w:szCs w:val="20"/>
        </w:rPr>
        <w:t xml:space="preserve"> Mesterházi Miklós.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In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Antropológiai írások.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Budapest: Os</w:t>
      </w:r>
      <w:r>
        <w:rPr>
          <w:rFonts w:ascii="Times New Roman" w:eastAsia="Liberation Serif" w:hAnsi="Times New Roman" w:cs="Liberation Serif"/>
          <w:sz w:val="20"/>
          <w:szCs w:val="20"/>
        </w:rPr>
        <w:t>iris/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Gond-Cura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Alapítvány. (9–12 o.; 21–58 o.; 117–161 o.; 265–306 o.)</w:t>
      </w:r>
    </w:p>
    <w:p w:rsidR="00D34735" w:rsidRDefault="00E4768C">
      <w:pPr>
        <w:tabs>
          <w:tab w:val="left" w:pos="2215"/>
        </w:tabs>
        <w:jc w:val="both"/>
        <w:rPr>
          <w:b/>
          <w:bCs/>
        </w:rPr>
      </w:pPr>
      <w:r>
        <w:rPr>
          <w:rFonts w:ascii="Times New Roman" w:eastAsia="Liberation Serif" w:hAnsi="Times New Roman" w:cs="Liberation Serif"/>
          <w:b/>
          <w:bCs/>
          <w:sz w:val="22"/>
          <w:szCs w:val="22"/>
        </w:rPr>
        <w:t>Ajánlott irodalom:</w:t>
      </w:r>
    </w:p>
    <w:p w:rsidR="00D34735" w:rsidRDefault="00E4768C">
      <w:pPr>
        <w:tabs>
          <w:tab w:val="left" w:pos="2215"/>
        </w:tabs>
        <w:spacing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Liberation Serif" w:hAnsi="Times New Roman" w:cs="Liberation Serif"/>
          <w:sz w:val="20"/>
          <w:szCs w:val="20"/>
        </w:rPr>
        <w:t>Kant, Immanuel. 1997. A fakultások vitája három szakaszban. Ford</w:t>
      </w:r>
      <w:proofErr w:type="gramStart"/>
      <w:r>
        <w:rPr>
          <w:rFonts w:ascii="Times New Roman" w:eastAsia="Liberation Serif" w:hAnsi="Times New Roman" w:cs="Liberation Serif"/>
          <w:sz w:val="20"/>
          <w:szCs w:val="20"/>
        </w:rPr>
        <w:t>.:</w:t>
      </w:r>
      <w:proofErr w:type="gramEnd"/>
      <w:r>
        <w:rPr>
          <w:rFonts w:ascii="Times New Roman" w:eastAsia="Liberation Serif" w:hAnsi="Times New Roman" w:cs="Liberation Serif"/>
          <w:sz w:val="20"/>
          <w:szCs w:val="20"/>
        </w:rPr>
        <w:t xml:space="preserve"> Mesterházi Miklós.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In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Történetfilozófiai írások,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335–456. Szeged: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Ictus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>.</w:t>
      </w:r>
    </w:p>
    <w:p w:rsidR="00D34735" w:rsidRDefault="00E4768C">
      <w:pPr>
        <w:tabs>
          <w:tab w:val="left" w:pos="2215"/>
        </w:tabs>
        <w:spacing w:after="57"/>
        <w:jc w:val="both"/>
      </w:pPr>
      <w:r>
        <w:rPr>
          <w:rFonts w:ascii="Times New Roman" w:eastAsia="Liberation Serif" w:hAnsi="Times New Roman" w:cs="Liberation Serif"/>
          <w:sz w:val="20"/>
          <w:szCs w:val="20"/>
        </w:rPr>
        <w:t>Kant, Immanuel. 2003. Megf</w:t>
      </w:r>
      <w:r>
        <w:rPr>
          <w:rFonts w:ascii="Times New Roman" w:eastAsia="Liberation Serif" w:hAnsi="Times New Roman" w:cs="Liberation Serif"/>
          <w:sz w:val="20"/>
          <w:szCs w:val="20"/>
        </w:rPr>
        <w:t>igyelések a Szép és a Fenséges érzéséről. Ford</w:t>
      </w:r>
      <w:proofErr w:type="gramStart"/>
      <w:r>
        <w:rPr>
          <w:rFonts w:ascii="Times New Roman" w:eastAsia="Liberation Serif" w:hAnsi="Times New Roman" w:cs="Liberation Serif"/>
          <w:sz w:val="20"/>
          <w:szCs w:val="20"/>
        </w:rPr>
        <w:t>.:</w:t>
      </w:r>
      <w:proofErr w:type="gramEnd"/>
      <w:r>
        <w:rPr>
          <w:rFonts w:ascii="Times New Roman" w:eastAsia="Liberation Serif" w:hAnsi="Times New Roman" w:cs="Liberation Serif"/>
          <w:sz w:val="20"/>
          <w:szCs w:val="20"/>
        </w:rPr>
        <w:t xml:space="preserve"> Czeglédi András. 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In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proofErr w:type="spellStart"/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>Prekritikai</w:t>
      </w:r>
      <w:proofErr w:type="spellEnd"/>
      <w:r>
        <w:rPr>
          <w:rFonts w:ascii="Times New Roman" w:eastAsia="Liberation Serif" w:hAnsi="Times New Roman" w:cs="Liberation Serif"/>
          <w:i/>
          <w:iCs/>
          <w:sz w:val="20"/>
          <w:szCs w:val="20"/>
        </w:rPr>
        <w:t xml:space="preserve"> írások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1754–1781, 281–336. Budapest: Osiris/</w:t>
      </w:r>
      <w:proofErr w:type="spellStart"/>
      <w:r>
        <w:rPr>
          <w:rFonts w:ascii="Times New Roman" w:eastAsia="Liberation Serif" w:hAnsi="Times New Roman" w:cs="Liberation Serif"/>
          <w:sz w:val="20"/>
          <w:szCs w:val="20"/>
        </w:rPr>
        <w:t>Gond-Cura</w:t>
      </w:r>
      <w:proofErr w:type="spellEnd"/>
      <w:r>
        <w:rPr>
          <w:rFonts w:ascii="Times New Roman" w:eastAsia="Liberation Serif" w:hAnsi="Times New Roman" w:cs="Liberation Serif"/>
          <w:sz w:val="20"/>
          <w:szCs w:val="20"/>
        </w:rPr>
        <w:t xml:space="preserve"> Alapítvány.</w:t>
      </w:r>
    </w:p>
    <w:sectPr w:rsidR="00D3473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35"/>
    <w:rsid w:val="00D34735"/>
    <w:rsid w:val="00E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jes.peter.if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2016-09-20T08:56:00Z</dcterms:created>
  <dcterms:modified xsi:type="dcterms:W3CDTF">2016-09-20T08:56:00Z</dcterms:modified>
  <dc:language>hu-HU</dc:language>
</cp:coreProperties>
</file>